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E74" w:rsidRPr="00C000A5" w:rsidRDefault="00FC2E74" w:rsidP="00CA420A">
      <w:pPr>
        <w:numPr>
          <w:ilvl w:val="0"/>
          <w:numId w:val="6"/>
        </w:numPr>
        <w:tabs>
          <w:tab w:val="left" w:pos="357"/>
        </w:tabs>
        <w:ind w:left="360"/>
        <w:jc w:val="both"/>
        <w:rPr>
          <w:rFonts w:ascii="Arial" w:hAnsi="Arial" w:cs="Arial"/>
          <w:sz w:val="22"/>
          <w:szCs w:val="22"/>
        </w:rPr>
      </w:pPr>
      <w:bookmarkStart w:id="0" w:name="_GoBack"/>
      <w:bookmarkEnd w:id="0"/>
      <w:r w:rsidRPr="00C000A5">
        <w:rPr>
          <w:rFonts w:ascii="Arial" w:hAnsi="Arial" w:cs="Arial"/>
          <w:sz w:val="22"/>
          <w:szCs w:val="22"/>
        </w:rPr>
        <w:t>Cabinet considered a submission regarding</w:t>
      </w:r>
      <w:r w:rsidRPr="00C000A5">
        <w:rPr>
          <w:sz w:val="22"/>
          <w:szCs w:val="22"/>
          <w:lang w:eastAsia="en-US"/>
        </w:rPr>
        <w:t xml:space="preserve"> </w:t>
      </w:r>
      <w:r w:rsidRPr="00C000A5">
        <w:rPr>
          <w:rFonts w:ascii="Arial" w:hAnsi="Arial" w:cs="Arial"/>
          <w:sz w:val="22"/>
          <w:szCs w:val="22"/>
        </w:rPr>
        <w:t xml:space="preserve">the release of the Combined Fisheries Management Regulatory Impact Statement (RIS) and draft Public Benefit Test (DPBT) containing a number of proposed amendments to subordinate legislation governing the management of Queensland’s Fisheries under the </w:t>
      </w:r>
      <w:r w:rsidRPr="00C000A5">
        <w:rPr>
          <w:rFonts w:ascii="Arial" w:hAnsi="Arial" w:cs="Arial"/>
          <w:i/>
          <w:sz w:val="22"/>
          <w:szCs w:val="22"/>
        </w:rPr>
        <w:t>Fisheries Act 1994</w:t>
      </w:r>
      <w:r w:rsidRPr="00C000A5">
        <w:rPr>
          <w:rFonts w:ascii="Arial" w:hAnsi="Arial" w:cs="Arial"/>
          <w:sz w:val="22"/>
          <w:szCs w:val="22"/>
        </w:rPr>
        <w:t>.</w:t>
      </w:r>
    </w:p>
    <w:p w:rsidR="00FC2E74" w:rsidRPr="00C000A5" w:rsidRDefault="00CF3535" w:rsidP="00CA420A">
      <w:pPr>
        <w:tabs>
          <w:tab w:val="left" w:pos="357"/>
        </w:tabs>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C2E74" w:rsidRPr="00C000A5" w:rsidRDefault="00CF3535" w:rsidP="00CA420A">
      <w:pPr>
        <w:numPr>
          <w:ilvl w:val="0"/>
          <w:numId w:val="6"/>
        </w:numPr>
        <w:tabs>
          <w:tab w:val="left" w:pos="357"/>
        </w:tabs>
        <w:ind w:left="360"/>
        <w:jc w:val="both"/>
        <w:rPr>
          <w:rFonts w:ascii="Arial" w:hAnsi="Arial" w:cs="Arial"/>
          <w:sz w:val="22"/>
          <w:szCs w:val="22"/>
        </w:rPr>
      </w:pPr>
      <w:r>
        <w:rPr>
          <w:rFonts w:ascii="Arial" w:hAnsi="Arial" w:cs="Arial"/>
          <w:sz w:val="22"/>
          <w:szCs w:val="22"/>
        </w:rPr>
        <w:tab/>
      </w:r>
      <w:r w:rsidR="00FC2E74" w:rsidRPr="00C000A5">
        <w:rPr>
          <w:rFonts w:ascii="Arial" w:hAnsi="Arial" w:cs="Arial"/>
          <w:sz w:val="22"/>
          <w:szCs w:val="22"/>
        </w:rPr>
        <w:t>The proposals contained in the RIS and DPBT are as follows:</w:t>
      </w:r>
    </w:p>
    <w:p w:rsidR="00FC2E74" w:rsidRPr="00C000A5" w:rsidRDefault="00FC2E74" w:rsidP="00CA420A">
      <w:pPr>
        <w:numPr>
          <w:ilvl w:val="0"/>
          <w:numId w:val="11"/>
        </w:numPr>
        <w:tabs>
          <w:tab w:val="left" w:pos="357"/>
        </w:tabs>
        <w:spacing w:before="120" w:after="120"/>
        <w:ind w:left="811"/>
        <w:jc w:val="both"/>
        <w:rPr>
          <w:rFonts w:ascii="Arial" w:hAnsi="Arial" w:cs="Arial"/>
          <w:sz w:val="22"/>
          <w:szCs w:val="22"/>
        </w:rPr>
      </w:pPr>
      <w:r w:rsidRPr="00C000A5">
        <w:rPr>
          <w:rFonts w:ascii="Arial" w:hAnsi="Arial" w:cs="Arial"/>
          <w:sz w:val="22"/>
          <w:szCs w:val="22"/>
        </w:rPr>
        <w:t xml:space="preserve">Significant changes to the management of the Tropical Rock Lobster (TRL) fishery which will move the commercial fishery to a quota management system to prevent the over exploitation of the resource and allow industry members to maximise the value of the product they catch. This proposal will involve the phased introduction of a new fee per TRL quota unit which is in line with existing fees for other high value quota species in </w:t>
      </w:r>
      <w:smartTag w:uri="urn:schemas-microsoft-com:office:smarttags" w:element="State">
        <w:smartTag w:uri="urn:schemas-microsoft-com:office:smarttags" w:element="place">
          <w:r w:rsidRPr="00C000A5">
            <w:rPr>
              <w:rFonts w:ascii="Arial" w:hAnsi="Arial" w:cs="Arial"/>
              <w:sz w:val="22"/>
              <w:szCs w:val="22"/>
            </w:rPr>
            <w:t>Queensland</w:t>
          </w:r>
        </w:smartTag>
      </w:smartTag>
      <w:r w:rsidRPr="00C000A5">
        <w:rPr>
          <w:rFonts w:ascii="Arial" w:hAnsi="Arial" w:cs="Arial"/>
          <w:sz w:val="22"/>
          <w:szCs w:val="22"/>
        </w:rPr>
        <w:t xml:space="preserve"> and to remove the existing licence fees associated with commercial TRL licences.</w:t>
      </w:r>
    </w:p>
    <w:p w:rsidR="00FC2E74" w:rsidRPr="00C000A5" w:rsidRDefault="00FC2E74" w:rsidP="00CA420A">
      <w:pPr>
        <w:numPr>
          <w:ilvl w:val="0"/>
          <w:numId w:val="11"/>
        </w:numPr>
        <w:tabs>
          <w:tab w:val="left" w:pos="357"/>
        </w:tabs>
        <w:spacing w:after="120"/>
        <w:ind w:left="811"/>
        <w:jc w:val="both"/>
        <w:rPr>
          <w:rFonts w:ascii="Arial" w:hAnsi="Arial" w:cs="Arial"/>
          <w:sz w:val="22"/>
          <w:szCs w:val="22"/>
        </w:rPr>
      </w:pPr>
      <w:r w:rsidRPr="00C000A5">
        <w:rPr>
          <w:rFonts w:ascii="Arial" w:hAnsi="Arial" w:cs="Arial"/>
          <w:sz w:val="22"/>
          <w:szCs w:val="22"/>
        </w:rPr>
        <w:t>Inclusion of three additional impoundments in the Stocked Impoundment Permit Scheme (SIPS) - Fairbairn Dam, Theresa Creek Dam and North Pine Dam.  The expansion of the SIPS will result in the introduction of a fee for fishing in those impoundments that SIPS will now cover. Amendments to the management of the trawl fishery (including the Finfish (Stout Whiting) and East Coast Otter Trawl fisheries) to maximise the value of the resource being harvested, protect juvenile or undersize animals, protect spawning animals and protect non target animals such as marine turtles.  This will be achieved both through the use of closures and by requiring the use of specific fishing gear that has a lower impact on juvenile animals or protected species.</w:t>
      </w:r>
    </w:p>
    <w:p w:rsidR="00FC2E74" w:rsidRPr="00C000A5" w:rsidRDefault="00FC2E74" w:rsidP="00CA420A">
      <w:pPr>
        <w:numPr>
          <w:ilvl w:val="0"/>
          <w:numId w:val="13"/>
        </w:numPr>
        <w:tabs>
          <w:tab w:val="left" w:pos="357"/>
        </w:tabs>
        <w:jc w:val="both"/>
        <w:rPr>
          <w:rFonts w:ascii="Arial" w:hAnsi="Arial" w:cs="Arial"/>
          <w:sz w:val="22"/>
          <w:szCs w:val="22"/>
        </w:rPr>
      </w:pPr>
      <w:r w:rsidRPr="00C000A5">
        <w:rPr>
          <w:rFonts w:ascii="Arial" w:hAnsi="Arial" w:cs="Arial"/>
          <w:sz w:val="22"/>
          <w:szCs w:val="22"/>
        </w:rPr>
        <w:t>Amendments to the spanner crab fishery to extend a closure to the taking of spanner crabs by commercial and recreational fishers to enhance protection for egg bearing crabs, and the phasing out of the use of inverted dillies in all Crab fisheries as they have been found to pose a significant risk to marine turtles through entanglement.</w:t>
      </w:r>
    </w:p>
    <w:p w:rsidR="00EA1214" w:rsidRDefault="00CF3535" w:rsidP="00CA420A">
      <w:pPr>
        <w:numPr>
          <w:ilvl w:val="0"/>
          <w:numId w:val="6"/>
        </w:numPr>
        <w:tabs>
          <w:tab w:val="left" w:pos="357"/>
        </w:tabs>
        <w:spacing w:before="240"/>
        <w:ind w:left="360"/>
        <w:jc w:val="both"/>
        <w:rPr>
          <w:rFonts w:ascii="Arial" w:hAnsi="Arial" w:cs="Arial"/>
          <w:sz w:val="22"/>
          <w:szCs w:val="22"/>
        </w:rPr>
      </w:pPr>
      <w:r>
        <w:rPr>
          <w:rFonts w:ascii="Arial" w:hAnsi="Arial" w:cs="Arial"/>
          <w:sz w:val="22"/>
          <w:szCs w:val="22"/>
        </w:rPr>
        <w:tab/>
      </w:r>
      <w:r w:rsidR="00FC2E74" w:rsidRPr="00EA1214">
        <w:rPr>
          <w:rFonts w:ascii="Arial" w:hAnsi="Arial" w:cs="Arial"/>
          <w:sz w:val="22"/>
          <w:szCs w:val="22"/>
          <w:u w:val="single"/>
        </w:rPr>
        <w:t>Cabinet noted</w:t>
      </w:r>
      <w:r w:rsidR="00FC2E74" w:rsidRPr="00C000A5">
        <w:rPr>
          <w:rFonts w:ascii="Arial" w:hAnsi="Arial" w:cs="Arial"/>
          <w:sz w:val="22"/>
          <w:szCs w:val="22"/>
        </w:rPr>
        <w:t xml:space="preserve"> the proposed release of the Combined Fisheries Management Regulatory Impact Statement and draft Public Benefit Test</w:t>
      </w:r>
      <w:r w:rsidR="00854943">
        <w:rPr>
          <w:rFonts w:ascii="Arial" w:hAnsi="Arial" w:cs="Arial"/>
          <w:sz w:val="22"/>
          <w:szCs w:val="22"/>
        </w:rPr>
        <w:t>.</w:t>
      </w:r>
    </w:p>
    <w:p w:rsidR="00214A6A" w:rsidRPr="00EA1214" w:rsidRDefault="00214A6A" w:rsidP="00214A6A">
      <w:pPr>
        <w:tabs>
          <w:tab w:val="left" w:pos="357"/>
        </w:tabs>
        <w:jc w:val="both"/>
        <w:rPr>
          <w:rFonts w:ascii="Arial" w:hAnsi="Arial" w:cs="Arial"/>
          <w:sz w:val="22"/>
          <w:szCs w:val="22"/>
        </w:rPr>
      </w:pPr>
    </w:p>
    <w:p w:rsidR="00FC2E74" w:rsidRPr="00C000A5" w:rsidRDefault="00FC2E74" w:rsidP="00CA420A">
      <w:pPr>
        <w:numPr>
          <w:ilvl w:val="0"/>
          <w:numId w:val="6"/>
        </w:numPr>
        <w:tabs>
          <w:tab w:val="left" w:pos="357"/>
        </w:tabs>
        <w:spacing w:before="240"/>
        <w:ind w:left="360"/>
        <w:jc w:val="both"/>
        <w:rPr>
          <w:rFonts w:ascii="Arial" w:hAnsi="Arial" w:cs="Arial"/>
          <w:sz w:val="22"/>
          <w:szCs w:val="22"/>
        </w:rPr>
      </w:pPr>
      <w:r w:rsidRPr="00C000A5">
        <w:rPr>
          <w:rFonts w:ascii="Arial" w:hAnsi="Arial" w:cs="Arial"/>
          <w:i/>
          <w:sz w:val="22"/>
          <w:szCs w:val="22"/>
          <w:u w:val="single"/>
        </w:rPr>
        <w:t>Attachments</w:t>
      </w:r>
    </w:p>
    <w:p w:rsidR="004B668C" w:rsidRDefault="002B10FF" w:rsidP="00214A6A">
      <w:pPr>
        <w:numPr>
          <w:ilvl w:val="0"/>
          <w:numId w:val="8"/>
        </w:numPr>
        <w:tabs>
          <w:tab w:val="left" w:pos="357"/>
        </w:tabs>
        <w:spacing w:before="120"/>
        <w:ind w:left="811"/>
        <w:jc w:val="both"/>
        <w:rPr>
          <w:rFonts w:ascii="Arial" w:hAnsi="Arial" w:cs="Arial"/>
          <w:color w:val="FF0000"/>
          <w:sz w:val="22"/>
          <w:szCs w:val="22"/>
        </w:rPr>
      </w:pPr>
      <w:hyperlink r:id="rId7" w:history="1">
        <w:r w:rsidR="00FC2E74" w:rsidRPr="00B9152C">
          <w:rPr>
            <w:rStyle w:val="Hyperlink"/>
            <w:rFonts w:ascii="Arial" w:hAnsi="Arial" w:cs="Arial"/>
            <w:sz w:val="22"/>
            <w:szCs w:val="22"/>
          </w:rPr>
          <w:t>Combined Fisheries Management Regulatory Impact Statement</w:t>
        </w:r>
        <w:r w:rsidR="00E046C8" w:rsidRPr="00B9152C">
          <w:rPr>
            <w:rStyle w:val="Hyperlink"/>
            <w:rFonts w:ascii="Arial" w:hAnsi="Arial" w:cs="Arial"/>
            <w:sz w:val="22"/>
            <w:szCs w:val="22"/>
          </w:rPr>
          <w:t xml:space="preserve"> and D</w:t>
        </w:r>
        <w:r w:rsidR="00FC2E74" w:rsidRPr="00B9152C">
          <w:rPr>
            <w:rStyle w:val="Hyperlink"/>
            <w:rFonts w:ascii="Arial" w:hAnsi="Arial" w:cs="Arial"/>
            <w:sz w:val="22"/>
            <w:szCs w:val="22"/>
          </w:rPr>
          <w:t xml:space="preserve">raft Public Benefit Test regarding proposed amendments to: </w:t>
        </w:r>
        <w:r w:rsidR="00FC2E74" w:rsidRPr="00B9152C">
          <w:rPr>
            <w:rStyle w:val="Hyperlink"/>
            <w:rFonts w:ascii="Arial" w:hAnsi="Arial" w:cs="Arial"/>
            <w:i/>
            <w:sz w:val="22"/>
            <w:szCs w:val="22"/>
          </w:rPr>
          <w:t>Fisheries (East Coast Trawl) Management Plan 1999</w:t>
        </w:r>
        <w:r w:rsidR="00234A0F" w:rsidRPr="00B9152C">
          <w:rPr>
            <w:rStyle w:val="Hyperlink"/>
            <w:rFonts w:ascii="Arial" w:hAnsi="Arial" w:cs="Arial"/>
            <w:i/>
            <w:sz w:val="22"/>
            <w:szCs w:val="22"/>
          </w:rPr>
          <w:t>; Fisheries (Freshwater) Management Plan 1999; Fisheries Regulation 2008</w:t>
        </w:r>
      </w:hyperlink>
    </w:p>
    <w:sectPr w:rsidR="004B668C" w:rsidSect="00644076">
      <w:headerReference w:type="default" r:id="rId8"/>
      <w:footerReference w:type="default" r:id="rId9"/>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0C3" w:rsidRDefault="001630C3">
      <w:r>
        <w:separator/>
      </w:r>
    </w:p>
  </w:endnote>
  <w:endnote w:type="continuationSeparator" w:id="0">
    <w:p w:rsidR="001630C3" w:rsidRDefault="0016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24A" w:rsidRPr="001141E1" w:rsidRDefault="0046424A"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0C3" w:rsidRDefault="001630C3">
      <w:r>
        <w:separator/>
      </w:r>
    </w:p>
  </w:footnote>
  <w:footnote w:type="continuationSeparator" w:id="0">
    <w:p w:rsidR="001630C3" w:rsidRDefault="00163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24A" w:rsidRPr="000400F9" w:rsidRDefault="00BC1E55" w:rsidP="00562399">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216" behindDoc="0" locked="0" layoutInCell="1" allowOverlap="1">
          <wp:simplePos x="0" y="0"/>
          <wp:positionH relativeFrom="column">
            <wp:posOffset>0</wp:posOffset>
          </wp:positionH>
          <wp:positionV relativeFrom="paragraph">
            <wp:posOffset>-218440</wp:posOffset>
          </wp:positionV>
          <wp:extent cx="1371600" cy="4381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pic:spPr>
              </pic:pic>
            </a:graphicData>
          </a:graphic>
          <wp14:sizeRelH relativeFrom="page">
            <wp14:pctWidth>0</wp14:pctWidth>
          </wp14:sizeRelH>
          <wp14:sizeRelV relativeFrom="page">
            <wp14:pctHeight>0</wp14:pctHeight>
          </wp14:sizeRelV>
        </wp:anchor>
      </w:drawing>
    </w:r>
    <w:r w:rsidR="0046424A">
      <w:rPr>
        <w:rFonts w:ascii="Arial" w:hAnsi="Arial" w:cs="Arial"/>
        <w:b/>
        <w:sz w:val="22"/>
        <w:szCs w:val="22"/>
        <w:u w:val="single"/>
      </w:rPr>
      <w:t>Cabinet – July 2008</w:t>
    </w:r>
  </w:p>
  <w:p w:rsidR="0046424A" w:rsidRDefault="0046424A" w:rsidP="00CD027C">
    <w:pPr>
      <w:pStyle w:val="Header"/>
      <w:spacing w:before="120"/>
      <w:rPr>
        <w:rFonts w:ascii="Arial" w:hAnsi="Arial" w:cs="Arial"/>
        <w:b/>
        <w:sz w:val="22"/>
        <w:szCs w:val="22"/>
        <w:u w:val="single"/>
      </w:rPr>
    </w:pPr>
    <w:r>
      <w:rPr>
        <w:rFonts w:ascii="Arial" w:hAnsi="Arial" w:cs="Arial"/>
        <w:b/>
        <w:sz w:val="22"/>
        <w:szCs w:val="22"/>
        <w:u w:val="single"/>
      </w:rPr>
      <w:t>Combined Fisheries Management Regulatory Impact Statement and draft Public Benefit Test</w:t>
    </w:r>
  </w:p>
  <w:p w:rsidR="0046424A" w:rsidRDefault="0046424A" w:rsidP="00CD027C">
    <w:pPr>
      <w:pStyle w:val="Header"/>
      <w:spacing w:before="120"/>
      <w:rPr>
        <w:rFonts w:ascii="Arial" w:hAnsi="Arial" w:cs="Arial"/>
        <w:b/>
        <w:sz w:val="22"/>
        <w:szCs w:val="22"/>
        <w:u w:val="single"/>
      </w:rPr>
    </w:pPr>
    <w:r>
      <w:rPr>
        <w:rFonts w:ascii="Arial" w:hAnsi="Arial" w:cs="Arial"/>
        <w:b/>
        <w:sz w:val="22"/>
        <w:szCs w:val="22"/>
        <w:u w:val="single"/>
      </w:rPr>
      <w:t>Minister for Primary Industries and Fisheries</w:t>
    </w:r>
  </w:p>
  <w:p w:rsidR="0046424A" w:rsidRPr="000400F9" w:rsidRDefault="00BC1E55" w:rsidP="00CD027C">
    <w:pPr>
      <w:pStyle w:val="Header"/>
      <w:spacing w:before="120"/>
      <w:rPr>
        <w:rFonts w:ascii="Arial" w:hAnsi="Arial" w:cs="Arial"/>
        <w:b/>
        <w:sz w:val="22"/>
        <w:szCs w:val="22"/>
        <w:u w:val="single"/>
      </w:rPr>
    </w:pPr>
    <w:r>
      <w:rPr>
        <w:rFonts w:ascii="Arial" w:hAnsi="Arial" w:cs="Arial"/>
        <w:b/>
        <w:noProof/>
        <w:sz w:val="22"/>
        <w:szCs w:val="22"/>
        <w:u w:val="singl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129540</wp:posOffset>
              </wp:positionV>
              <wp:extent cx="582930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0D9D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K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&#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31F5751"/>
    <w:multiLevelType w:val="hybridMultilevel"/>
    <w:tmpl w:val="9BFEF486"/>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07C1876"/>
    <w:multiLevelType w:val="hybridMultilevel"/>
    <w:tmpl w:val="3B48B4C0"/>
    <w:lvl w:ilvl="0" w:tplc="B7A0238C">
      <w:start w:val="1"/>
      <w:numFmt w:val="bullet"/>
      <w:lvlText w:val=""/>
      <w:lvlJc w:val="left"/>
      <w:pPr>
        <w:tabs>
          <w:tab w:val="num" w:pos="814"/>
        </w:tabs>
        <w:ind w:left="814" w:hanging="454"/>
      </w:pPr>
      <w:rPr>
        <w:rFonts w:ascii="Symbol" w:hAnsi="Symbol" w:hint="default"/>
        <w:color w:val="auto"/>
        <w:sz w:val="23"/>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AD537C5"/>
    <w:multiLevelType w:val="hybridMultilevel"/>
    <w:tmpl w:val="8B828706"/>
    <w:lvl w:ilvl="0" w:tplc="B7A0238C">
      <w:start w:val="1"/>
      <w:numFmt w:val="bullet"/>
      <w:lvlText w:val=""/>
      <w:lvlJc w:val="left"/>
      <w:pPr>
        <w:tabs>
          <w:tab w:val="num" w:pos="814"/>
        </w:tabs>
        <w:ind w:left="814" w:hanging="454"/>
      </w:pPr>
      <w:rPr>
        <w:rFonts w:ascii="Symbol" w:hAnsi="Symbol" w:hint="default"/>
        <w:color w:val="auto"/>
        <w:sz w:val="23"/>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F176F87"/>
    <w:multiLevelType w:val="hybridMultilevel"/>
    <w:tmpl w:val="2396ACA6"/>
    <w:lvl w:ilvl="0" w:tplc="0C09000F">
      <w:start w:val="1"/>
      <w:numFmt w:val="decimal"/>
      <w:lvlText w:val="%1."/>
      <w:lvlJc w:val="left"/>
      <w:pPr>
        <w:tabs>
          <w:tab w:val="num" w:pos="1434"/>
        </w:tabs>
        <w:ind w:left="1434" w:hanging="360"/>
      </w:pPr>
    </w:lvl>
    <w:lvl w:ilvl="1" w:tplc="8F02EAEE">
      <w:start w:val="1"/>
      <w:numFmt w:val="decimal"/>
      <w:lvlText w:val="%2."/>
      <w:lvlJc w:val="left"/>
      <w:pPr>
        <w:tabs>
          <w:tab w:val="num" w:pos="2157"/>
        </w:tabs>
        <w:ind w:left="2157" w:hanging="363"/>
      </w:pPr>
      <w:rPr>
        <w:rFonts w:hint="default"/>
      </w:rPr>
    </w:lvl>
    <w:lvl w:ilvl="2" w:tplc="0C09001B" w:tentative="1">
      <w:start w:val="1"/>
      <w:numFmt w:val="lowerRoman"/>
      <w:lvlText w:val="%3."/>
      <w:lvlJc w:val="right"/>
      <w:pPr>
        <w:tabs>
          <w:tab w:val="num" w:pos="2874"/>
        </w:tabs>
        <w:ind w:left="2874" w:hanging="180"/>
      </w:pPr>
    </w:lvl>
    <w:lvl w:ilvl="3" w:tplc="0C09000F" w:tentative="1">
      <w:start w:val="1"/>
      <w:numFmt w:val="decimal"/>
      <w:lvlText w:val="%4."/>
      <w:lvlJc w:val="left"/>
      <w:pPr>
        <w:tabs>
          <w:tab w:val="num" w:pos="3594"/>
        </w:tabs>
        <w:ind w:left="3594" w:hanging="360"/>
      </w:pPr>
    </w:lvl>
    <w:lvl w:ilvl="4" w:tplc="0C090019" w:tentative="1">
      <w:start w:val="1"/>
      <w:numFmt w:val="lowerLetter"/>
      <w:lvlText w:val="%5."/>
      <w:lvlJc w:val="left"/>
      <w:pPr>
        <w:tabs>
          <w:tab w:val="num" w:pos="4314"/>
        </w:tabs>
        <w:ind w:left="4314" w:hanging="360"/>
      </w:pPr>
    </w:lvl>
    <w:lvl w:ilvl="5" w:tplc="0C09001B" w:tentative="1">
      <w:start w:val="1"/>
      <w:numFmt w:val="lowerRoman"/>
      <w:lvlText w:val="%6."/>
      <w:lvlJc w:val="right"/>
      <w:pPr>
        <w:tabs>
          <w:tab w:val="num" w:pos="5034"/>
        </w:tabs>
        <w:ind w:left="5034" w:hanging="180"/>
      </w:pPr>
    </w:lvl>
    <w:lvl w:ilvl="6" w:tplc="0C09000F" w:tentative="1">
      <w:start w:val="1"/>
      <w:numFmt w:val="decimal"/>
      <w:lvlText w:val="%7."/>
      <w:lvlJc w:val="left"/>
      <w:pPr>
        <w:tabs>
          <w:tab w:val="num" w:pos="5754"/>
        </w:tabs>
        <w:ind w:left="5754" w:hanging="360"/>
      </w:pPr>
    </w:lvl>
    <w:lvl w:ilvl="7" w:tplc="0C090019" w:tentative="1">
      <w:start w:val="1"/>
      <w:numFmt w:val="lowerLetter"/>
      <w:lvlText w:val="%8."/>
      <w:lvlJc w:val="left"/>
      <w:pPr>
        <w:tabs>
          <w:tab w:val="num" w:pos="6474"/>
        </w:tabs>
        <w:ind w:left="6474" w:hanging="360"/>
      </w:pPr>
    </w:lvl>
    <w:lvl w:ilvl="8" w:tplc="0C09001B" w:tentative="1">
      <w:start w:val="1"/>
      <w:numFmt w:val="lowerRoman"/>
      <w:lvlText w:val="%9."/>
      <w:lvlJc w:val="right"/>
      <w:pPr>
        <w:tabs>
          <w:tab w:val="num" w:pos="7194"/>
        </w:tabs>
        <w:ind w:left="7194" w:hanging="180"/>
      </w:pPr>
    </w:lvl>
  </w:abstractNum>
  <w:num w:numId="1">
    <w:abstractNumId w:val="6"/>
  </w:num>
  <w:num w:numId="2">
    <w:abstractNumId w:val="0"/>
  </w:num>
  <w:num w:numId="3">
    <w:abstractNumId w:val="10"/>
  </w:num>
  <w:num w:numId="4">
    <w:abstractNumId w:val="3"/>
  </w:num>
  <w:num w:numId="5">
    <w:abstractNumId w:val="1"/>
  </w:num>
  <w:num w:numId="6">
    <w:abstractNumId w:val="12"/>
  </w:num>
  <w:num w:numId="7">
    <w:abstractNumId w:val="11"/>
  </w:num>
  <w:num w:numId="8">
    <w:abstractNumId w:val="9"/>
  </w:num>
  <w:num w:numId="9">
    <w:abstractNumId w:val="8"/>
  </w:num>
  <w:num w:numId="10">
    <w:abstractNumId w:val="5"/>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34"/>
    <w:rsid w:val="00021B34"/>
    <w:rsid w:val="000266C7"/>
    <w:rsid w:val="000400F9"/>
    <w:rsid w:val="0004104C"/>
    <w:rsid w:val="00062BAC"/>
    <w:rsid w:val="000A6CAA"/>
    <w:rsid w:val="000B545C"/>
    <w:rsid w:val="000D3A1C"/>
    <w:rsid w:val="00112E5E"/>
    <w:rsid w:val="001141E1"/>
    <w:rsid w:val="0012139B"/>
    <w:rsid w:val="00133013"/>
    <w:rsid w:val="00133A34"/>
    <w:rsid w:val="00160524"/>
    <w:rsid w:val="001630C3"/>
    <w:rsid w:val="001E7408"/>
    <w:rsid w:val="00211956"/>
    <w:rsid w:val="00214A6A"/>
    <w:rsid w:val="00234A0F"/>
    <w:rsid w:val="00254E35"/>
    <w:rsid w:val="00271745"/>
    <w:rsid w:val="0028053C"/>
    <w:rsid w:val="002B10FF"/>
    <w:rsid w:val="002F57E4"/>
    <w:rsid w:val="0032048B"/>
    <w:rsid w:val="00346156"/>
    <w:rsid w:val="00346D5B"/>
    <w:rsid w:val="003548E7"/>
    <w:rsid w:val="00362F01"/>
    <w:rsid w:val="00382380"/>
    <w:rsid w:val="003840AE"/>
    <w:rsid w:val="003A269C"/>
    <w:rsid w:val="003C3732"/>
    <w:rsid w:val="00435BE5"/>
    <w:rsid w:val="0046424A"/>
    <w:rsid w:val="0048019C"/>
    <w:rsid w:val="00486A99"/>
    <w:rsid w:val="004972F4"/>
    <w:rsid w:val="004B668C"/>
    <w:rsid w:val="004C7710"/>
    <w:rsid w:val="004D62F3"/>
    <w:rsid w:val="004E6C38"/>
    <w:rsid w:val="00504726"/>
    <w:rsid w:val="005055CD"/>
    <w:rsid w:val="0055193A"/>
    <w:rsid w:val="00553DB7"/>
    <w:rsid w:val="00562399"/>
    <w:rsid w:val="0056401D"/>
    <w:rsid w:val="005B1D9B"/>
    <w:rsid w:val="005B6CDB"/>
    <w:rsid w:val="005D62B1"/>
    <w:rsid w:val="006100CC"/>
    <w:rsid w:val="00644076"/>
    <w:rsid w:val="00646A5B"/>
    <w:rsid w:val="006631CF"/>
    <w:rsid w:val="00693C87"/>
    <w:rsid w:val="006B3B54"/>
    <w:rsid w:val="006D0869"/>
    <w:rsid w:val="006E6713"/>
    <w:rsid w:val="007060D7"/>
    <w:rsid w:val="00726F36"/>
    <w:rsid w:val="00752472"/>
    <w:rsid w:val="007A25F4"/>
    <w:rsid w:val="007D0E0C"/>
    <w:rsid w:val="007F52D6"/>
    <w:rsid w:val="0082040E"/>
    <w:rsid w:val="00845D3E"/>
    <w:rsid w:val="00854943"/>
    <w:rsid w:val="008A5F1B"/>
    <w:rsid w:val="008B7E17"/>
    <w:rsid w:val="008E2061"/>
    <w:rsid w:val="00922A5B"/>
    <w:rsid w:val="00935F25"/>
    <w:rsid w:val="00936417"/>
    <w:rsid w:val="0096363B"/>
    <w:rsid w:val="00984EDC"/>
    <w:rsid w:val="009D0C12"/>
    <w:rsid w:val="009F60C3"/>
    <w:rsid w:val="00A20C0E"/>
    <w:rsid w:val="00A63DE2"/>
    <w:rsid w:val="00A85287"/>
    <w:rsid w:val="00AA128C"/>
    <w:rsid w:val="00AB6637"/>
    <w:rsid w:val="00AC1606"/>
    <w:rsid w:val="00AC59B7"/>
    <w:rsid w:val="00AE1995"/>
    <w:rsid w:val="00B357FE"/>
    <w:rsid w:val="00B40BDF"/>
    <w:rsid w:val="00B55808"/>
    <w:rsid w:val="00B767EA"/>
    <w:rsid w:val="00B9152C"/>
    <w:rsid w:val="00BA1873"/>
    <w:rsid w:val="00BC1E55"/>
    <w:rsid w:val="00C000A5"/>
    <w:rsid w:val="00C76448"/>
    <w:rsid w:val="00C85B71"/>
    <w:rsid w:val="00CA420A"/>
    <w:rsid w:val="00CC2745"/>
    <w:rsid w:val="00CD027C"/>
    <w:rsid w:val="00CF0483"/>
    <w:rsid w:val="00CF3535"/>
    <w:rsid w:val="00D36E28"/>
    <w:rsid w:val="00D91F6C"/>
    <w:rsid w:val="00DD3CD5"/>
    <w:rsid w:val="00DD497C"/>
    <w:rsid w:val="00E046C8"/>
    <w:rsid w:val="00E463C2"/>
    <w:rsid w:val="00EA00BF"/>
    <w:rsid w:val="00EA1214"/>
    <w:rsid w:val="00F756F8"/>
    <w:rsid w:val="00F802E2"/>
    <w:rsid w:val="00FC2E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C000A5"/>
    <w:rPr>
      <w:color w:val="0000FF"/>
      <w:u w:val="single"/>
    </w:rPr>
  </w:style>
  <w:style w:type="character" w:styleId="FollowedHyperlink">
    <w:name w:val="FollowedHyperlink"/>
    <w:basedOn w:val="DefaultParagraphFont"/>
    <w:rsid w:val="00B55808"/>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Combined%20Fisheries%20Management%20RIS%20and%20Public%20Benefit%20Te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2013</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2384</CharactersWithSpaces>
  <SharedDoc>false</SharedDoc>
  <HyperlinkBase>https://www.cabinet.qld.gov.au/documents/2008/Jul/Fisheries Mgt RIS PBT/</HyperlinkBase>
  <HLinks>
    <vt:vector size="6" baseType="variant">
      <vt:variant>
        <vt:i4>4653073</vt:i4>
      </vt:variant>
      <vt:variant>
        <vt:i4>0</vt:i4>
      </vt:variant>
      <vt:variant>
        <vt:i4>0</vt:i4>
      </vt:variant>
      <vt:variant>
        <vt:i4>5</vt:i4>
      </vt:variant>
      <vt:variant>
        <vt:lpwstr>attachments/Combined Fisheries Management RIS and Public Benefit Test.pdf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2008-12-02T02:25:00Z</cp:lastPrinted>
  <dcterms:created xsi:type="dcterms:W3CDTF">2017-10-24T07:44:00Z</dcterms:created>
  <dcterms:modified xsi:type="dcterms:W3CDTF">2018-03-06T00:51:00Z</dcterms:modified>
  <cp:category>Fisheries,Primary_Industries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